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2FA" w:rsidRPr="004B5C73" w:rsidRDefault="004B5C73" w:rsidP="004B5C73">
      <w:pPr>
        <w:jc w:val="center"/>
        <w:rPr>
          <w:b/>
          <w:sz w:val="40"/>
          <w:u w:val="single"/>
        </w:rPr>
      </w:pPr>
      <w:r w:rsidRPr="004B5C73">
        <w:rPr>
          <w:b/>
          <w:sz w:val="40"/>
          <w:u w:val="single"/>
        </w:rPr>
        <w:t>Indagini preliminari</w:t>
      </w:r>
    </w:p>
    <w:p w:rsidR="004B5C73" w:rsidRDefault="004B5C73" w:rsidP="004B5C73">
      <w:pPr>
        <w:jc w:val="both"/>
      </w:pPr>
    </w:p>
    <w:p w:rsidR="004B5C73" w:rsidRPr="004B5C73" w:rsidRDefault="004B5C73" w:rsidP="004B5C73">
      <w:pPr>
        <w:pStyle w:val="NormaleWeb"/>
        <w:jc w:val="both"/>
        <w:rPr>
          <w:rFonts w:asciiTheme="minorHAnsi" w:hAnsiTheme="minorHAnsi"/>
        </w:rPr>
      </w:pPr>
      <w:r w:rsidRPr="004B5C73">
        <w:rPr>
          <w:rFonts w:asciiTheme="minorHAnsi" w:hAnsiTheme="minorHAnsi"/>
        </w:rPr>
        <w:t xml:space="preserve">Le </w:t>
      </w:r>
      <w:r w:rsidRPr="004B5C73">
        <w:rPr>
          <w:rFonts w:asciiTheme="minorHAnsi" w:hAnsiTheme="minorHAnsi"/>
          <w:b/>
          <w:bCs/>
        </w:rPr>
        <w:t>indagini preliminari</w:t>
      </w:r>
      <w:r w:rsidRPr="004B5C73">
        <w:rPr>
          <w:rFonts w:asciiTheme="minorHAnsi" w:hAnsiTheme="minorHAnsi"/>
        </w:rPr>
        <w:t xml:space="preserve">, introdotte nel </w:t>
      </w:r>
      <w:hyperlink r:id="rId4" w:tooltip="Codice di procedura penale" w:history="1">
        <w:r w:rsidRPr="004B5C73">
          <w:rPr>
            <w:rFonts w:asciiTheme="minorHAnsi" w:hAnsiTheme="minorHAnsi"/>
          </w:rPr>
          <w:t>codice di procedura penale</w:t>
        </w:r>
      </w:hyperlink>
      <w:r w:rsidRPr="004B5C73">
        <w:rPr>
          <w:rFonts w:asciiTheme="minorHAnsi" w:hAnsiTheme="minorHAnsi"/>
        </w:rPr>
        <w:t xml:space="preserve"> dall'art. 326, sono una fase del </w:t>
      </w:r>
      <w:hyperlink r:id="rId5" w:tooltip="Procedimento penale" w:history="1">
        <w:r w:rsidRPr="004B5C73">
          <w:rPr>
            <w:rFonts w:asciiTheme="minorHAnsi" w:hAnsiTheme="minorHAnsi"/>
          </w:rPr>
          <w:t>procedimento penale</w:t>
        </w:r>
      </w:hyperlink>
      <w:r w:rsidRPr="004B5C73">
        <w:rPr>
          <w:rFonts w:asciiTheme="minorHAnsi" w:hAnsiTheme="minorHAnsi"/>
        </w:rPr>
        <w:t xml:space="preserve"> precedente all'eventuale processo. Nelle indagini preliminari il </w:t>
      </w:r>
      <w:hyperlink r:id="rId6" w:tooltip="Pubblico ministero" w:history="1">
        <w:r w:rsidRPr="004B5C73">
          <w:rPr>
            <w:rFonts w:asciiTheme="minorHAnsi" w:hAnsiTheme="minorHAnsi"/>
          </w:rPr>
          <w:t>pubblico ministero</w:t>
        </w:r>
      </w:hyperlink>
      <w:r w:rsidRPr="004B5C73">
        <w:rPr>
          <w:rFonts w:asciiTheme="minorHAnsi" w:hAnsiTheme="minorHAnsi"/>
        </w:rPr>
        <w:t xml:space="preserve"> e la polizia giudiziaria svolgono le indagini necessarie per le determinazioni inerenti all'esercizio dell'</w:t>
      </w:r>
      <w:hyperlink r:id="rId7" w:tooltip="Azione penale" w:history="1">
        <w:r w:rsidRPr="004B5C73">
          <w:rPr>
            <w:rFonts w:asciiTheme="minorHAnsi" w:hAnsiTheme="minorHAnsi"/>
          </w:rPr>
          <w:t>azione penale</w:t>
        </w:r>
      </w:hyperlink>
      <w:r w:rsidRPr="004B5C73">
        <w:rPr>
          <w:rFonts w:asciiTheme="minorHAnsi" w:hAnsiTheme="minorHAnsi"/>
        </w:rPr>
        <w:t>: ne consegue che il p.m. e la polizia giudiziaria devono acquisire anche gli elementi a favore dell'indagato (art. 358) dato che le indagini preliminari servono esclusivamente a stabilire se ci sono i presupposti per l'esercizio dell'azione penale.</w:t>
      </w:r>
      <w:r w:rsidRPr="004B5C73">
        <w:rPr>
          <w:rFonts w:asciiTheme="minorHAnsi" w:hAnsiTheme="minorHAnsi"/>
        </w:rPr>
        <w:br/>
        <w:t>È previsto il segreto per gli atti compiuti durante le indagini.</w:t>
      </w:r>
    </w:p>
    <w:p w:rsidR="004B5C73" w:rsidRPr="004B5C73" w:rsidRDefault="004B5C73" w:rsidP="004B5C73">
      <w:pPr>
        <w:spacing w:before="100" w:beforeAutospacing="1" w:after="100" w:afterAutospacing="1" w:line="240" w:lineRule="auto"/>
        <w:jc w:val="both"/>
        <w:outlineLvl w:val="1"/>
        <w:rPr>
          <w:rFonts w:eastAsia="Times New Roman" w:cs="Times New Roman"/>
          <w:b/>
          <w:bCs/>
          <w:sz w:val="28"/>
          <w:szCs w:val="24"/>
          <w:lang w:eastAsia="it-IT"/>
        </w:rPr>
      </w:pPr>
      <w:r w:rsidRPr="004B5C73">
        <w:rPr>
          <w:sz w:val="24"/>
          <w:szCs w:val="24"/>
        </w:rPr>
        <w:br/>
      </w:r>
      <w:r w:rsidRPr="004B5C73">
        <w:rPr>
          <w:rFonts w:eastAsia="Times New Roman" w:cs="Times New Roman"/>
          <w:b/>
          <w:bCs/>
          <w:sz w:val="28"/>
          <w:szCs w:val="24"/>
          <w:lang w:eastAsia="it-IT"/>
        </w:rPr>
        <w:t>La polizia giudiziaria</w:t>
      </w:r>
    </w:p>
    <w:p w:rsidR="004B5C73" w:rsidRPr="004B5C73" w:rsidRDefault="004B5C73" w:rsidP="004B5C73">
      <w:pPr>
        <w:spacing w:before="100" w:beforeAutospacing="1" w:after="100" w:afterAutospacing="1" w:line="240" w:lineRule="auto"/>
        <w:jc w:val="both"/>
        <w:rPr>
          <w:rFonts w:eastAsia="Times New Roman" w:cs="Times New Roman"/>
          <w:sz w:val="24"/>
          <w:szCs w:val="24"/>
          <w:lang w:eastAsia="it-IT"/>
        </w:rPr>
      </w:pPr>
      <w:r w:rsidRPr="004B5C73">
        <w:rPr>
          <w:rFonts w:eastAsia="Times New Roman" w:cs="Times New Roman"/>
          <w:sz w:val="24"/>
          <w:szCs w:val="24"/>
          <w:lang w:eastAsia="it-IT"/>
        </w:rPr>
        <w:t xml:space="preserve">Solitamente il primo passo è compiuto dalla </w:t>
      </w:r>
      <w:hyperlink r:id="rId8" w:tooltip="Polizia giudiziaria" w:history="1">
        <w:r w:rsidRPr="004B5C73">
          <w:rPr>
            <w:rFonts w:eastAsia="Times New Roman" w:cs="Times New Roman"/>
            <w:sz w:val="24"/>
            <w:szCs w:val="24"/>
            <w:lang w:eastAsia="it-IT"/>
          </w:rPr>
          <w:t>polizia giudiziaria</w:t>
        </w:r>
      </w:hyperlink>
      <w:r w:rsidRPr="004B5C73">
        <w:rPr>
          <w:rFonts w:eastAsia="Times New Roman" w:cs="Times New Roman"/>
          <w:sz w:val="24"/>
          <w:szCs w:val="24"/>
          <w:lang w:eastAsia="it-IT"/>
        </w:rPr>
        <w:t xml:space="preserve">, la quale però si è vista limitare molte libertà con la riforma del </w:t>
      </w:r>
      <w:hyperlink r:id="rId9" w:tooltip="1989" w:history="1">
        <w:r w:rsidRPr="004B5C73">
          <w:rPr>
            <w:rFonts w:eastAsia="Times New Roman" w:cs="Times New Roman"/>
            <w:sz w:val="24"/>
            <w:szCs w:val="24"/>
            <w:lang w:eastAsia="it-IT"/>
          </w:rPr>
          <w:t>1989</w:t>
        </w:r>
      </w:hyperlink>
      <w:r w:rsidRPr="004B5C73">
        <w:rPr>
          <w:rFonts w:eastAsia="Times New Roman" w:cs="Times New Roman"/>
          <w:sz w:val="24"/>
          <w:szCs w:val="24"/>
          <w:lang w:eastAsia="it-IT"/>
        </w:rPr>
        <w:t xml:space="preserve">. Innanzitutto la polizia giudiziaria può avviare proprie indagini autonomamente ed assicurare la cessazione del reato oltre che acquisire gli elementi necessari, ma deve darne avviso senza ritardo al </w:t>
      </w:r>
      <w:hyperlink r:id="rId10" w:tooltip="Pubblico Ministero" w:history="1">
        <w:r w:rsidRPr="004B5C73">
          <w:rPr>
            <w:rFonts w:eastAsia="Times New Roman" w:cs="Times New Roman"/>
            <w:sz w:val="24"/>
            <w:szCs w:val="24"/>
            <w:lang w:eastAsia="it-IT"/>
          </w:rPr>
          <w:t>PM</w:t>
        </w:r>
      </w:hyperlink>
      <w:r w:rsidRPr="004B5C73">
        <w:rPr>
          <w:rFonts w:eastAsia="Times New Roman" w:cs="Times New Roman"/>
          <w:sz w:val="24"/>
          <w:szCs w:val="24"/>
          <w:lang w:eastAsia="it-IT"/>
        </w:rPr>
        <w:t xml:space="preserve"> (prima della riforma il limite era 48 ore). Una volta intervenuto il PM, deve compiere le attività da questo delegate, anche di propria iniziativa.</w:t>
      </w:r>
    </w:p>
    <w:p w:rsidR="004B5C73" w:rsidRPr="004B5C73" w:rsidRDefault="004B5C73" w:rsidP="004B5C73">
      <w:pPr>
        <w:spacing w:before="100" w:beforeAutospacing="1" w:after="100" w:afterAutospacing="1" w:line="240" w:lineRule="auto"/>
        <w:jc w:val="both"/>
        <w:outlineLvl w:val="1"/>
        <w:rPr>
          <w:rFonts w:eastAsia="Times New Roman" w:cs="Times New Roman"/>
          <w:b/>
          <w:bCs/>
          <w:sz w:val="28"/>
          <w:szCs w:val="24"/>
          <w:lang w:eastAsia="it-IT"/>
        </w:rPr>
      </w:pPr>
      <w:bookmarkStart w:id="0" w:name="Valore_probatorio"/>
      <w:bookmarkEnd w:id="0"/>
      <w:r w:rsidRPr="004B5C73">
        <w:rPr>
          <w:rFonts w:eastAsia="Times New Roman" w:cs="Times New Roman"/>
          <w:sz w:val="24"/>
          <w:szCs w:val="24"/>
          <w:lang w:eastAsia="it-IT"/>
        </w:rPr>
        <w:br/>
      </w:r>
      <w:r w:rsidRPr="004B5C73">
        <w:rPr>
          <w:rFonts w:eastAsia="Times New Roman" w:cs="Times New Roman"/>
          <w:b/>
          <w:bCs/>
          <w:sz w:val="28"/>
          <w:szCs w:val="24"/>
          <w:lang w:eastAsia="it-IT"/>
        </w:rPr>
        <w:t>Valore probatorio</w:t>
      </w:r>
    </w:p>
    <w:p w:rsidR="004B5C73" w:rsidRPr="004B5C73" w:rsidRDefault="004B5C73" w:rsidP="004B5C73">
      <w:pPr>
        <w:spacing w:before="100" w:beforeAutospacing="1" w:after="100" w:afterAutospacing="1" w:line="240" w:lineRule="auto"/>
        <w:jc w:val="both"/>
        <w:rPr>
          <w:rFonts w:eastAsia="Times New Roman" w:cs="Times New Roman"/>
          <w:sz w:val="24"/>
          <w:szCs w:val="24"/>
          <w:lang w:eastAsia="it-IT"/>
        </w:rPr>
      </w:pPr>
      <w:r w:rsidRPr="004B5C73">
        <w:rPr>
          <w:rFonts w:eastAsia="Times New Roman" w:cs="Times New Roman"/>
          <w:sz w:val="24"/>
          <w:szCs w:val="24"/>
          <w:lang w:eastAsia="it-IT"/>
        </w:rPr>
        <w:t>Contrariamente a quanto avveniva prima della riforma, oggi le indagini preliminari non hanno valore probatorio, salvo quanto disposto per l'</w:t>
      </w:r>
      <w:hyperlink r:id="rId11" w:tooltip="Incidente probatorio" w:history="1">
        <w:r w:rsidRPr="004B5C73">
          <w:rPr>
            <w:rFonts w:eastAsia="Times New Roman" w:cs="Times New Roman"/>
            <w:sz w:val="24"/>
            <w:szCs w:val="24"/>
            <w:lang w:eastAsia="it-IT"/>
          </w:rPr>
          <w:t>incidente probatorio</w:t>
        </w:r>
      </w:hyperlink>
      <w:r w:rsidRPr="004B5C73">
        <w:rPr>
          <w:rFonts w:eastAsia="Times New Roman" w:cs="Times New Roman"/>
          <w:sz w:val="24"/>
          <w:szCs w:val="24"/>
          <w:lang w:eastAsia="it-IT"/>
        </w:rPr>
        <w:t>: nel nuovo sistema, infatti, si è dato risalto al principio del contraddittorio. Nelle indagini preliminari infatti si acquisiscono solo elementi di prova al solo fine di valutare l'esercizio o meno dell'</w:t>
      </w:r>
      <w:hyperlink r:id="rId12" w:tooltip="Azione penale" w:history="1">
        <w:r w:rsidRPr="004B5C73">
          <w:rPr>
            <w:rFonts w:eastAsia="Times New Roman" w:cs="Times New Roman"/>
            <w:sz w:val="24"/>
            <w:szCs w:val="24"/>
            <w:lang w:eastAsia="it-IT"/>
          </w:rPr>
          <w:t>azione penale</w:t>
        </w:r>
      </w:hyperlink>
      <w:r w:rsidRPr="004B5C73">
        <w:rPr>
          <w:rFonts w:eastAsia="Times New Roman" w:cs="Times New Roman"/>
          <w:sz w:val="24"/>
          <w:szCs w:val="24"/>
          <w:lang w:eastAsia="it-IT"/>
        </w:rPr>
        <w:t>.</w:t>
      </w:r>
    </w:p>
    <w:p w:rsidR="004B5C73" w:rsidRPr="004B5C73" w:rsidRDefault="004B5C73" w:rsidP="004B5C73">
      <w:pPr>
        <w:spacing w:before="100" w:beforeAutospacing="1" w:after="100" w:afterAutospacing="1" w:line="240" w:lineRule="auto"/>
        <w:jc w:val="both"/>
        <w:rPr>
          <w:rFonts w:eastAsia="Times New Roman" w:cs="Times New Roman"/>
          <w:sz w:val="24"/>
          <w:szCs w:val="24"/>
          <w:lang w:eastAsia="it-IT"/>
        </w:rPr>
      </w:pPr>
      <w:r w:rsidRPr="004B5C73">
        <w:rPr>
          <w:rFonts w:eastAsia="Times New Roman" w:cs="Times New Roman"/>
          <w:sz w:val="24"/>
          <w:szCs w:val="24"/>
          <w:lang w:eastAsia="it-IT"/>
        </w:rPr>
        <w:t>Nel fascicolo del dibattimento confluiscono - e quindi rilevano ai fini della prova - gli atti assunti con l'incidente probatorio e gli atti irripetibili compiuti dall'accusa e dalla difesa - accertamenti tecnici irripetibili, risultati di intercettazioni telefoniche e ambientali, risultati di perquisizioni, ispezioni, sequestri nonché risultati di eventuali mezzi di ricerca delle prova atipici come gli appostamenti. Tutti gli altri atti compiuti nelle indagini preliminari (ma anche nell'udienza preliminare) che non hanno la caratteristica dell'irripetibilità confluiscono nel fascicolo delle parti e quindi - almeno per il momento - non assumono alcun valore probatorio.</w:t>
      </w:r>
    </w:p>
    <w:p w:rsidR="004B5C73" w:rsidRPr="004B5C73" w:rsidRDefault="004B5C73" w:rsidP="004B5C73">
      <w:pPr>
        <w:spacing w:before="100" w:beforeAutospacing="1" w:after="100" w:afterAutospacing="1" w:line="240" w:lineRule="auto"/>
        <w:jc w:val="both"/>
        <w:outlineLvl w:val="1"/>
        <w:rPr>
          <w:rFonts w:eastAsia="Times New Roman" w:cs="Times New Roman"/>
          <w:b/>
          <w:bCs/>
          <w:sz w:val="28"/>
          <w:szCs w:val="24"/>
          <w:lang w:eastAsia="it-IT"/>
        </w:rPr>
      </w:pPr>
      <w:bookmarkStart w:id="1" w:name="Attivit.C3.A0_dell.27indagine"/>
      <w:bookmarkEnd w:id="1"/>
      <w:r w:rsidRPr="004B5C73">
        <w:rPr>
          <w:rFonts w:eastAsia="Times New Roman" w:cs="Times New Roman"/>
          <w:b/>
          <w:bCs/>
          <w:sz w:val="24"/>
          <w:szCs w:val="24"/>
          <w:lang w:eastAsia="it-IT"/>
        </w:rPr>
        <w:br/>
      </w:r>
      <w:r w:rsidRPr="004B5C73">
        <w:rPr>
          <w:rFonts w:eastAsia="Times New Roman" w:cs="Times New Roman"/>
          <w:b/>
          <w:bCs/>
          <w:sz w:val="28"/>
          <w:szCs w:val="24"/>
          <w:lang w:eastAsia="it-IT"/>
        </w:rPr>
        <w:t>Attività dell'indagine</w:t>
      </w:r>
    </w:p>
    <w:p w:rsidR="004B5C73" w:rsidRPr="004B5C73" w:rsidRDefault="004B5C73" w:rsidP="004B5C73">
      <w:pPr>
        <w:spacing w:before="100" w:beforeAutospacing="1" w:after="100" w:afterAutospacing="1" w:line="240" w:lineRule="auto"/>
        <w:jc w:val="both"/>
        <w:rPr>
          <w:rFonts w:eastAsia="Times New Roman" w:cs="Times New Roman"/>
          <w:sz w:val="24"/>
          <w:szCs w:val="24"/>
          <w:lang w:eastAsia="it-IT"/>
        </w:rPr>
      </w:pPr>
      <w:r w:rsidRPr="004B5C73">
        <w:rPr>
          <w:rFonts w:eastAsia="Times New Roman" w:cs="Times New Roman"/>
          <w:sz w:val="24"/>
          <w:szCs w:val="24"/>
          <w:lang w:eastAsia="it-IT"/>
        </w:rPr>
        <w:t>Le attività che può compiere il pubblico ministero sono disciplinate dagli art.</w:t>
      </w:r>
      <w:r w:rsidR="003A7F61">
        <w:rPr>
          <w:rFonts w:eastAsia="Times New Roman" w:cs="Times New Roman"/>
          <w:sz w:val="24"/>
          <w:szCs w:val="24"/>
          <w:lang w:eastAsia="it-IT"/>
        </w:rPr>
        <w:t xml:space="preserve"> </w:t>
      </w:r>
      <w:hyperlink r:id="rId13" w:anchor="TITOLO_V_ATTIVIT.C3.80_DEL_PUBBLICO_MINISTERO" w:tooltip="s:Codice di Procedura Penale" w:history="1">
        <w:r w:rsidRPr="004B5C73">
          <w:rPr>
            <w:rFonts w:eastAsia="Times New Roman" w:cs="Times New Roman"/>
            <w:sz w:val="24"/>
            <w:szCs w:val="24"/>
            <w:lang w:eastAsia="it-IT"/>
          </w:rPr>
          <w:t>350 e segg.</w:t>
        </w:r>
      </w:hyperlink>
      <w:r w:rsidRPr="004B5C73">
        <w:rPr>
          <w:rFonts w:eastAsia="Times New Roman" w:cs="Times New Roman"/>
          <w:sz w:val="24"/>
          <w:szCs w:val="24"/>
          <w:lang w:eastAsia="it-IT"/>
        </w:rPr>
        <w:t xml:space="preserve"> </w:t>
      </w:r>
      <w:hyperlink r:id="rId14" w:tooltip="s:Codice di procedura penale" w:history="1">
        <w:proofErr w:type="spellStart"/>
        <w:r w:rsidRPr="004B5C73">
          <w:rPr>
            <w:rFonts w:eastAsia="Times New Roman" w:cs="Times New Roman"/>
            <w:sz w:val="24"/>
            <w:szCs w:val="24"/>
            <w:lang w:eastAsia="it-IT"/>
          </w:rPr>
          <w:t>c.p.p</w:t>
        </w:r>
        <w:proofErr w:type="spellEnd"/>
        <w:r w:rsidRPr="004B5C73">
          <w:rPr>
            <w:rFonts w:eastAsia="Times New Roman" w:cs="Times New Roman"/>
            <w:sz w:val="24"/>
            <w:szCs w:val="24"/>
            <w:lang w:eastAsia="it-IT"/>
          </w:rPr>
          <w:t>.</w:t>
        </w:r>
      </w:hyperlink>
      <w:r w:rsidRPr="004B5C73">
        <w:rPr>
          <w:rFonts w:eastAsia="Times New Roman" w:cs="Times New Roman"/>
          <w:sz w:val="24"/>
          <w:szCs w:val="24"/>
          <w:lang w:eastAsia="it-IT"/>
        </w:rPr>
        <w:t>.</w:t>
      </w:r>
    </w:p>
    <w:p w:rsidR="004B5C73" w:rsidRPr="004B5C73" w:rsidRDefault="004B5C73" w:rsidP="004B5C73">
      <w:pPr>
        <w:spacing w:before="100" w:beforeAutospacing="1" w:after="100" w:afterAutospacing="1" w:line="240" w:lineRule="auto"/>
        <w:jc w:val="both"/>
        <w:rPr>
          <w:rFonts w:eastAsia="Times New Roman" w:cs="Times New Roman"/>
          <w:sz w:val="24"/>
          <w:szCs w:val="24"/>
          <w:lang w:eastAsia="it-IT"/>
        </w:rPr>
      </w:pPr>
      <w:r w:rsidRPr="004B5C73">
        <w:rPr>
          <w:rFonts w:eastAsia="Times New Roman" w:cs="Times New Roman"/>
          <w:sz w:val="24"/>
          <w:szCs w:val="24"/>
          <w:lang w:eastAsia="it-IT"/>
        </w:rPr>
        <w:t xml:space="preserve">Il pubblico ministero può procedere al compimento di accertamenti tecnici irripetibili secondo la disciplina posta dall'art 360 </w:t>
      </w:r>
      <w:hyperlink r:id="rId15" w:tooltip="Codice di procedura penale" w:history="1">
        <w:proofErr w:type="spellStart"/>
        <w:r w:rsidRPr="004B5C73">
          <w:rPr>
            <w:rFonts w:eastAsia="Times New Roman" w:cs="Times New Roman"/>
            <w:sz w:val="24"/>
            <w:szCs w:val="24"/>
            <w:lang w:eastAsia="it-IT"/>
          </w:rPr>
          <w:t>c.p.p</w:t>
        </w:r>
      </w:hyperlink>
      <w:r w:rsidRPr="004B5C73">
        <w:rPr>
          <w:rFonts w:eastAsia="Times New Roman" w:cs="Times New Roman"/>
          <w:sz w:val="24"/>
          <w:szCs w:val="24"/>
          <w:lang w:eastAsia="it-IT"/>
        </w:rPr>
        <w:t>.</w:t>
      </w:r>
      <w:proofErr w:type="spellEnd"/>
      <w:r w:rsidRPr="004B5C73">
        <w:rPr>
          <w:rFonts w:eastAsia="Times New Roman" w:cs="Times New Roman"/>
          <w:sz w:val="24"/>
          <w:szCs w:val="24"/>
          <w:lang w:eastAsia="it-IT"/>
        </w:rPr>
        <w:t xml:space="preserve"> In tal caso nominerà un consulente che avrà l'obbligo di rispondere ai quesiti formulati dal Pm. Quest'ultimo deve informare la persona offesa dal reato, l'indagato e il suo difensore affinché questi possano nominare a loro volta al massimo 2 consulenti tecnici. I difensori e gli eventuali consulenti tecnici hanno diritto ad assistere al conferimento dell'incarico e partecipare alle operazioni formulando osservazioni e pareri cui deve esser fatta </w:t>
      </w:r>
      <w:r w:rsidRPr="004B5C73">
        <w:rPr>
          <w:rFonts w:eastAsia="Times New Roman" w:cs="Times New Roman"/>
          <w:sz w:val="24"/>
          <w:szCs w:val="24"/>
          <w:lang w:eastAsia="it-IT"/>
        </w:rPr>
        <w:lastRenderedPageBreak/>
        <w:t>menzione nel verbale. La difesa dell'indagato può chiedere - prima del conferimento dell'incarico - che si proceda attraverso l'incidente probatorio. In questo caso il Pm potrà procedere negli accertamenti tecnici solo se un loro rinvio comporti che questi non possano essere più utilmente compiuti. Se questa condizione non è rispettata e il Pm procede comunque al compimento degli accertamenti, questi sono inutilizzabili.</w:t>
      </w:r>
    </w:p>
    <w:p w:rsidR="004B5C73" w:rsidRPr="004B5C73" w:rsidRDefault="004B5C73" w:rsidP="004B5C73">
      <w:pPr>
        <w:spacing w:before="100" w:beforeAutospacing="1" w:after="100" w:afterAutospacing="1" w:line="240" w:lineRule="auto"/>
        <w:jc w:val="both"/>
        <w:outlineLvl w:val="1"/>
        <w:rPr>
          <w:rFonts w:eastAsia="Times New Roman" w:cs="Times New Roman"/>
          <w:b/>
          <w:bCs/>
          <w:sz w:val="28"/>
          <w:szCs w:val="24"/>
          <w:lang w:eastAsia="it-IT"/>
        </w:rPr>
      </w:pPr>
      <w:bookmarkStart w:id="2" w:name="Diritti_dell.27indagato"/>
      <w:bookmarkEnd w:id="2"/>
      <w:r w:rsidRPr="004B5C73">
        <w:rPr>
          <w:rFonts w:eastAsia="Times New Roman" w:cs="Times New Roman"/>
          <w:b/>
          <w:bCs/>
          <w:sz w:val="24"/>
          <w:szCs w:val="24"/>
          <w:lang w:eastAsia="it-IT"/>
        </w:rPr>
        <w:br/>
      </w:r>
      <w:r w:rsidRPr="004B5C73">
        <w:rPr>
          <w:rFonts w:eastAsia="Times New Roman" w:cs="Times New Roman"/>
          <w:b/>
          <w:bCs/>
          <w:sz w:val="28"/>
          <w:szCs w:val="24"/>
          <w:lang w:eastAsia="it-IT"/>
        </w:rPr>
        <w:t>Diritti dell'indagato</w:t>
      </w:r>
    </w:p>
    <w:p w:rsidR="004B5C73" w:rsidRPr="004B5C73" w:rsidRDefault="004B5C73" w:rsidP="004B5C73">
      <w:pPr>
        <w:spacing w:before="100" w:beforeAutospacing="1" w:after="100" w:afterAutospacing="1" w:line="240" w:lineRule="auto"/>
        <w:jc w:val="both"/>
        <w:rPr>
          <w:rFonts w:eastAsia="Times New Roman" w:cs="Times New Roman"/>
          <w:sz w:val="24"/>
          <w:szCs w:val="24"/>
          <w:lang w:eastAsia="it-IT"/>
        </w:rPr>
      </w:pPr>
      <w:r w:rsidRPr="004B5C73">
        <w:rPr>
          <w:rFonts w:eastAsia="Times New Roman" w:cs="Times New Roman"/>
          <w:sz w:val="24"/>
          <w:szCs w:val="24"/>
          <w:lang w:eastAsia="it-IT"/>
        </w:rPr>
        <w:t xml:space="preserve">L'indagato ha diritto di essere informato a sua richiesta se è instaurato un procedimento penale a suo carico. Il pubblico ministero può tuttavia disporre la </w:t>
      </w:r>
      <w:proofErr w:type="spellStart"/>
      <w:r w:rsidRPr="004B5C73">
        <w:rPr>
          <w:rFonts w:eastAsia="Times New Roman" w:cs="Times New Roman"/>
          <w:sz w:val="24"/>
          <w:szCs w:val="24"/>
          <w:lang w:eastAsia="it-IT"/>
        </w:rPr>
        <w:t>segretazione</w:t>
      </w:r>
      <w:proofErr w:type="spellEnd"/>
      <w:r w:rsidRPr="004B5C73">
        <w:rPr>
          <w:rFonts w:eastAsia="Times New Roman" w:cs="Times New Roman"/>
          <w:sz w:val="24"/>
          <w:szCs w:val="24"/>
          <w:lang w:eastAsia="it-IT"/>
        </w:rPr>
        <w:t xml:space="preserve"> delle indagini per un periodo non superiore ai 3 mesi se si tratta di reati comuni; per i reati di maggiore allarme sociale invece non possono essere mai fornite informazioni all'indagato al fine di evitare un pregiudizio alle indagini.</w:t>
      </w:r>
    </w:p>
    <w:p w:rsidR="004B5C73" w:rsidRPr="004B5C73" w:rsidRDefault="004B5C73" w:rsidP="004B5C73">
      <w:pPr>
        <w:spacing w:before="100" w:beforeAutospacing="1" w:after="100" w:afterAutospacing="1" w:line="240" w:lineRule="auto"/>
        <w:jc w:val="both"/>
        <w:rPr>
          <w:rFonts w:eastAsia="Times New Roman" w:cs="Times New Roman"/>
          <w:sz w:val="24"/>
          <w:szCs w:val="24"/>
          <w:lang w:eastAsia="it-IT"/>
        </w:rPr>
      </w:pPr>
      <w:r w:rsidRPr="004B5C73">
        <w:rPr>
          <w:rFonts w:eastAsia="Times New Roman" w:cs="Times New Roman"/>
          <w:sz w:val="24"/>
          <w:szCs w:val="24"/>
          <w:lang w:eastAsia="it-IT"/>
        </w:rPr>
        <w:t xml:space="preserve">Secondo il disposto dell'art. 369 </w:t>
      </w:r>
      <w:proofErr w:type="spellStart"/>
      <w:r w:rsidRPr="004B5C73">
        <w:rPr>
          <w:rFonts w:eastAsia="Times New Roman" w:cs="Times New Roman"/>
          <w:sz w:val="24"/>
          <w:szCs w:val="24"/>
          <w:lang w:eastAsia="it-IT"/>
        </w:rPr>
        <w:t>cpp</w:t>
      </w:r>
      <w:proofErr w:type="spellEnd"/>
      <w:r w:rsidRPr="004B5C73">
        <w:rPr>
          <w:rFonts w:eastAsia="Times New Roman" w:cs="Times New Roman"/>
          <w:sz w:val="24"/>
          <w:szCs w:val="24"/>
          <w:lang w:eastAsia="it-IT"/>
        </w:rPr>
        <w:t xml:space="preserve"> l'indagato ha diritto a ricevere l'</w:t>
      </w:r>
      <w:hyperlink r:id="rId16" w:tooltip="Avviso di garanzia" w:history="1">
        <w:r w:rsidRPr="004B5C73">
          <w:rPr>
            <w:rFonts w:eastAsia="Times New Roman" w:cs="Times New Roman"/>
            <w:sz w:val="24"/>
            <w:szCs w:val="24"/>
            <w:lang w:eastAsia="it-IT"/>
          </w:rPr>
          <w:t>avviso di garanzia</w:t>
        </w:r>
      </w:hyperlink>
      <w:r w:rsidRPr="004B5C73">
        <w:rPr>
          <w:rFonts w:eastAsia="Times New Roman" w:cs="Times New Roman"/>
          <w:sz w:val="24"/>
          <w:szCs w:val="24"/>
          <w:lang w:eastAsia="it-IT"/>
        </w:rPr>
        <w:t xml:space="preserve"> solo quando deve essere compiuto un atto ("atto garantito") al quale ha diritto di partecipare il suo difensore. In caso contrario l'indagato ne verrà a conoscenza solo se il Pubblico Ministero esercita l'azione penale inviando l'</w:t>
      </w:r>
      <w:hyperlink r:id="rId17" w:tooltip="Avviso di conclusione delle indagini (pagina inesistente)" w:history="1">
        <w:r w:rsidRPr="004B5C73">
          <w:rPr>
            <w:rFonts w:eastAsia="Times New Roman" w:cs="Times New Roman"/>
            <w:sz w:val="24"/>
            <w:szCs w:val="24"/>
            <w:lang w:eastAsia="it-IT"/>
          </w:rPr>
          <w:t>avviso di conclusione delle indagini</w:t>
        </w:r>
      </w:hyperlink>
      <w:r w:rsidRPr="004B5C73">
        <w:rPr>
          <w:rFonts w:eastAsia="Times New Roman" w:cs="Times New Roman"/>
          <w:sz w:val="24"/>
          <w:szCs w:val="24"/>
          <w:lang w:eastAsia="it-IT"/>
        </w:rPr>
        <w:t>. Viene infatti comunicato il diritto di predisporre un difensore e, qualora ciò non avvenga, viene incaricato uno d'ufficio.</w:t>
      </w:r>
    </w:p>
    <w:p w:rsidR="004B5C73" w:rsidRPr="004B5C73" w:rsidRDefault="004B5C73" w:rsidP="004B5C73">
      <w:pPr>
        <w:spacing w:before="100" w:beforeAutospacing="1" w:after="100" w:afterAutospacing="1" w:line="240" w:lineRule="auto"/>
        <w:jc w:val="both"/>
        <w:rPr>
          <w:rFonts w:eastAsia="Times New Roman" w:cs="Times New Roman"/>
          <w:sz w:val="24"/>
          <w:szCs w:val="24"/>
          <w:lang w:eastAsia="it-IT"/>
        </w:rPr>
      </w:pPr>
      <w:r w:rsidRPr="004B5C73">
        <w:rPr>
          <w:rFonts w:eastAsia="Times New Roman" w:cs="Times New Roman"/>
          <w:sz w:val="24"/>
          <w:szCs w:val="24"/>
          <w:lang w:eastAsia="it-IT"/>
        </w:rPr>
        <w:t>Durante alcuni atti il difensore ha il diritto di assistere e di essere avvertito, come l'</w:t>
      </w:r>
      <w:hyperlink r:id="rId18" w:tooltip="Interrogatorio" w:history="1">
        <w:r w:rsidRPr="004B5C73">
          <w:rPr>
            <w:rFonts w:eastAsia="Times New Roman" w:cs="Times New Roman"/>
            <w:sz w:val="24"/>
            <w:szCs w:val="24"/>
            <w:lang w:eastAsia="it-IT"/>
          </w:rPr>
          <w:t>interrogatorio</w:t>
        </w:r>
      </w:hyperlink>
      <w:r w:rsidRPr="004B5C73">
        <w:rPr>
          <w:rFonts w:eastAsia="Times New Roman" w:cs="Times New Roman"/>
          <w:sz w:val="24"/>
          <w:szCs w:val="24"/>
          <w:lang w:eastAsia="it-IT"/>
        </w:rPr>
        <w:t>, l'</w:t>
      </w:r>
      <w:hyperlink r:id="rId19" w:tooltip="Ispezione" w:history="1">
        <w:r w:rsidRPr="004B5C73">
          <w:rPr>
            <w:rFonts w:eastAsia="Times New Roman" w:cs="Times New Roman"/>
            <w:sz w:val="24"/>
            <w:szCs w:val="24"/>
            <w:lang w:eastAsia="it-IT"/>
          </w:rPr>
          <w:t>ispezione</w:t>
        </w:r>
      </w:hyperlink>
      <w:r w:rsidRPr="004B5C73">
        <w:rPr>
          <w:rFonts w:eastAsia="Times New Roman" w:cs="Times New Roman"/>
          <w:sz w:val="24"/>
          <w:szCs w:val="24"/>
          <w:lang w:eastAsia="it-IT"/>
        </w:rPr>
        <w:t xml:space="preserve"> e il confronto. In altri può assistere senza avvertimento: </w:t>
      </w:r>
      <w:hyperlink r:id="rId20" w:tooltip="Perquisizione" w:history="1">
        <w:r w:rsidRPr="004B5C73">
          <w:rPr>
            <w:rFonts w:eastAsia="Times New Roman" w:cs="Times New Roman"/>
            <w:sz w:val="24"/>
            <w:szCs w:val="24"/>
            <w:lang w:eastAsia="it-IT"/>
          </w:rPr>
          <w:t>perquisizione</w:t>
        </w:r>
      </w:hyperlink>
      <w:r w:rsidRPr="004B5C73">
        <w:rPr>
          <w:rFonts w:eastAsia="Times New Roman" w:cs="Times New Roman"/>
          <w:sz w:val="24"/>
          <w:szCs w:val="24"/>
          <w:lang w:eastAsia="it-IT"/>
        </w:rPr>
        <w:t xml:space="preserve"> e </w:t>
      </w:r>
      <w:hyperlink r:id="rId21" w:tooltip="Sequestro" w:history="1">
        <w:r w:rsidRPr="004B5C73">
          <w:rPr>
            <w:rFonts w:eastAsia="Times New Roman" w:cs="Times New Roman"/>
            <w:sz w:val="24"/>
            <w:szCs w:val="24"/>
            <w:lang w:eastAsia="it-IT"/>
          </w:rPr>
          <w:t>sequestro</w:t>
        </w:r>
      </w:hyperlink>
      <w:r w:rsidRPr="004B5C73">
        <w:rPr>
          <w:rFonts w:eastAsia="Times New Roman" w:cs="Times New Roman"/>
          <w:sz w:val="24"/>
          <w:szCs w:val="24"/>
          <w:lang w:eastAsia="it-IT"/>
        </w:rPr>
        <w:t>. Il difensore può anche consultare entro 5 giorni dalla loro pubblicazione i documenti relativi a tali atti, che devono essere depositati dal PM entro 3 giorni dal compimento dell'atto stesso in cancelleria, ed estrarne copia.</w:t>
      </w:r>
    </w:p>
    <w:p w:rsidR="004B5C73" w:rsidRPr="004B5C73" w:rsidRDefault="004B5C73" w:rsidP="004B5C73">
      <w:pPr>
        <w:spacing w:before="100" w:beforeAutospacing="1" w:after="100" w:afterAutospacing="1" w:line="240" w:lineRule="auto"/>
        <w:jc w:val="both"/>
        <w:outlineLvl w:val="1"/>
        <w:rPr>
          <w:rFonts w:eastAsia="Times New Roman" w:cs="Times New Roman"/>
          <w:b/>
          <w:bCs/>
          <w:sz w:val="28"/>
          <w:szCs w:val="24"/>
          <w:lang w:eastAsia="it-IT"/>
        </w:rPr>
      </w:pPr>
      <w:bookmarkStart w:id="3" w:name="Durata"/>
      <w:bookmarkEnd w:id="3"/>
      <w:r w:rsidRPr="004B5C73">
        <w:rPr>
          <w:rFonts w:eastAsia="Times New Roman" w:cs="Times New Roman"/>
          <w:b/>
          <w:bCs/>
          <w:sz w:val="24"/>
          <w:szCs w:val="24"/>
          <w:lang w:eastAsia="it-IT"/>
        </w:rPr>
        <w:br/>
      </w:r>
      <w:r w:rsidRPr="004B5C73">
        <w:rPr>
          <w:rFonts w:eastAsia="Times New Roman" w:cs="Times New Roman"/>
          <w:b/>
          <w:bCs/>
          <w:sz w:val="28"/>
          <w:szCs w:val="24"/>
          <w:lang w:eastAsia="it-IT"/>
        </w:rPr>
        <w:t>Durata</w:t>
      </w:r>
    </w:p>
    <w:p w:rsidR="004B5C73" w:rsidRPr="004B5C73" w:rsidRDefault="004B5C73" w:rsidP="004B5C73">
      <w:pPr>
        <w:spacing w:before="100" w:beforeAutospacing="1" w:after="100" w:afterAutospacing="1" w:line="240" w:lineRule="auto"/>
        <w:jc w:val="both"/>
        <w:rPr>
          <w:rFonts w:eastAsia="Times New Roman" w:cs="Times New Roman"/>
          <w:sz w:val="24"/>
          <w:szCs w:val="24"/>
          <w:lang w:eastAsia="it-IT"/>
        </w:rPr>
      </w:pPr>
      <w:r w:rsidRPr="004B5C73">
        <w:rPr>
          <w:rFonts w:eastAsia="Times New Roman" w:cs="Times New Roman"/>
          <w:sz w:val="24"/>
          <w:szCs w:val="24"/>
          <w:lang w:eastAsia="it-IT"/>
        </w:rPr>
        <w:t>Secondo l'art.</w:t>
      </w:r>
      <w:r>
        <w:rPr>
          <w:rFonts w:eastAsia="Times New Roman" w:cs="Times New Roman"/>
          <w:sz w:val="24"/>
          <w:szCs w:val="24"/>
          <w:lang w:eastAsia="it-IT"/>
        </w:rPr>
        <w:t xml:space="preserve"> </w:t>
      </w:r>
      <w:r w:rsidRPr="004B5C73">
        <w:rPr>
          <w:rFonts w:eastAsia="Times New Roman" w:cs="Times New Roman"/>
          <w:sz w:val="24"/>
          <w:szCs w:val="24"/>
          <w:lang w:eastAsia="it-IT"/>
        </w:rPr>
        <w:t xml:space="preserve">405 </w:t>
      </w:r>
      <w:hyperlink r:id="rId22" w:tooltip="s:Codice di procedura penale" w:history="1">
        <w:proofErr w:type="spellStart"/>
        <w:r w:rsidRPr="004B5C73">
          <w:rPr>
            <w:rFonts w:eastAsia="Times New Roman" w:cs="Times New Roman"/>
            <w:sz w:val="24"/>
            <w:szCs w:val="24"/>
            <w:lang w:eastAsia="it-IT"/>
          </w:rPr>
          <w:t>c.p.p.</w:t>
        </w:r>
        <w:proofErr w:type="spellEnd"/>
      </w:hyperlink>
      <w:r w:rsidRPr="004B5C73">
        <w:rPr>
          <w:rFonts w:eastAsia="Times New Roman" w:cs="Times New Roman"/>
          <w:sz w:val="24"/>
          <w:szCs w:val="24"/>
          <w:lang w:eastAsia="it-IT"/>
        </w:rPr>
        <w:t xml:space="preserve"> la durata delle indagini preliminari è di sei mesi dall'iscrizione della </w:t>
      </w:r>
      <w:hyperlink r:id="rId23" w:tooltip="Notizia di reato" w:history="1">
        <w:r w:rsidRPr="004B5C73">
          <w:rPr>
            <w:rFonts w:eastAsia="Times New Roman" w:cs="Times New Roman"/>
            <w:sz w:val="24"/>
            <w:szCs w:val="24"/>
            <w:lang w:eastAsia="it-IT"/>
          </w:rPr>
          <w:t>notizia di reato</w:t>
        </w:r>
      </w:hyperlink>
      <w:r w:rsidRPr="004B5C73">
        <w:rPr>
          <w:rFonts w:eastAsia="Times New Roman" w:cs="Times New Roman"/>
          <w:sz w:val="24"/>
          <w:szCs w:val="24"/>
          <w:lang w:eastAsia="it-IT"/>
        </w:rPr>
        <w:t>, salvo che non si proceda per uno dei delitti delineato dall'art. 407 comma 2°, aumentando ad un anno.</w:t>
      </w:r>
    </w:p>
    <w:p w:rsidR="004B5C73" w:rsidRPr="004B5C73" w:rsidRDefault="004B5C73" w:rsidP="004B5C73">
      <w:pPr>
        <w:spacing w:before="100" w:beforeAutospacing="1" w:after="100" w:afterAutospacing="1" w:line="240" w:lineRule="auto"/>
        <w:jc w:val="both"/>
        <w:rPr>
          <w:rFonts w:eastAsia="Times New Roman" w:cs="Times New Roman"/>
          <w:sz w:val="24"/>
          <w:szCs w:val="24"/>
          <w:lang w:eastAsia="it-IT"/>
        </w:rPr>
      </w:pPr>
      <w:r w:rsidRPr="004B5C73">
        <w:rPr>
          <w:rFonts w:eastAsia="Times New Roman" w:cs="Times New Roman"/>
          <w:sz w:val="24"/>
          <w:szCs w:val="24"/>
          <w:lang w:eastAsia="it-IT"/>
        </w:rPr>
        <w:t>Tuttavia il PM, ex art.</w:t>
      </w:r>
      <w:r>
        <w:rPr>
          <w:rFonts w:eastAsia="Times New Roman" w:cs="Times New Roman"/>
          <w:sz w:val="24"/>
          <w:szCs w:val="24"/>
          <w:lang w:eastAsia="it-IT"/>
        </w:rPr>
        <w:t xml:space="preserve"> </w:t>
      </w:r>
      <w:r w:rsidRPr="004B5C73">
        <w:rPr>
          <w:rFonts w:eastAsia="Times New Roman" w:cs="Times New Roman"/>
          <w:sz w:val="24"/>
          <w:szCs w:val="24"/>
          <w:lang w:eastAsia="it-IT"/>
        </w:rPr>
        <w:t xml:space="preserve">406 </w:t>
      </w:r>
      <w:hyperlink r:id="rId24" w:tooltip="s:Codice di procedura penale" w:history="1">
        <w:proofErr w:type="spellStart"/>
        <w:r w:rsidRPr="004B5C73">
          <w:rPr>
            <w:rFonts w:eastAsia="Times New Roman" w:cs="Times New Roman"/>
            <w:sz w:val="24"/>
            <w:szCs w:val="24"/>
            <w:lang w:eastAsia="it-IT"/>
          </w:rPr>
          <w:t>c.p.p.</w:t>
        </w:r>
        <w:proofErr w:type="spellEnd"/>
      </w:hyperlink>
      <w:r w:rsidRPr="004B5C73">
        <w:rPr>
          <w:rFonts w:eastAsia="Times New Roman" w:cs="Times New Roman"/>
          <w:sz w:val="24"/>
          <w:szCs w:val="24"/>
          <w:lang w:eastAsia="it-IT"/>
        </w:rPr>
        <w:t xml:space="preserve"> può chiedere al </w:t>
      </w:r>
      <w:hyperlink r:id="rId25" w:tooltip="Giudice per le indagini preliminari" w:history="1">
        <w:r w:rsidR="003A7F61">
          <w:rPr>
            <w:rFonts w:eastAsia="Times New Roman" w:cs="Times New Roman"/>
            <w:sz w:val="24"/>
            <w:szCs w:val="24"/>
            <w:lang w:eastAsia="it-IT"/>
          </w:rPr>
          <w:t>Giudice per le Indagini P</w:t>
        </w:r>
        <w:r w:rsidRPr="004B5C73">
          <w:rPr>
            <w:rFonts w:eastAsia="Times New Roman" w:cs="Times New Roman"/>
            <w:sz w:val="24"/>
            <w:szCs w:val="24"/>
            <w:lang w:eastAsia="it-IT"/>
          </w:rPr>
          <w:t>reliminari</w:t>
        </w:r>
      </w:hyperlink>
      <w:r w:rsidRPr="004B5C73">
        <w:rPr>
          <w:rFonts w:eastAsia="Times New Roman" w:cs="Times New Roman"/>
          <w:sz w:val="24"/>
          <w:szCs w:val="24"/>
          <w:lang w:eastAsia="it-IT"/>
        </w:rPr>
        <w:t xml:space="preserve"> (GIP) una proroga, per giusta causa, non eccedente altri sei mesi. Possono essere richieste anche altre proroghe per particolare complessità delle indagini, sempre non eccedenti i sei mesi. La proroga è accordata dal giudice 10 giorni prima la scadenza del termine e notificata all'indagato e alla persona offesa che ha fatto richiesta di essere informata. Il giudice deve fare lo stesso procedimento nel caso non ritenga di accordare la proroga fissando l'udienza in camera di consiglio. La durata massima delle indagini non può comunque superare i 18 mesi o i 2 anni nel caso dei delitti ex art.</w:t>
      </w:r>
      <w:r w:rsidR="003A7F61">
        <w:rPr>
          <w:rFonts w:eastAsia="Times New Roman" w:cs="Times New Roman"/>
          <w:sz w:val="24"/>
          <w:szCs w:val="24"/>
          <w:lang w:eastAsia="it-IT"/>
        </w:rPr>
        <w:t xml:space="preserve"> </w:t>
      </w:r>
      <w:r w:rsidRPr="004B5C73">
        <w:rPr>
          <w:rFonts w:eastAsia="Times New Roman" w:cs="Times New Roman"/>
          <w:sz w:val="24"/>
          <w:szCs w:val="24"/>
          <w:lang w:eastAsia="it-IT"/>
        </w:rPr>
        <w:t>407.</w:t>
      </w:r>
    </w:p>
    <w:p w:rsidR="004B5C73" w:rsidRPr="004B5C73" w:rsidRDefault="004B5C73">
      <w:pPr>
        <w:rPr>
          <w:sz w:val="24"/>
          <w:szCs w:val="24"/>
        </w:rPr>
      </w:pPr>
    </w:p>
    <w:sectPr w:rsidR="004B5C73" w:rsidRPr="004B5C73" w:rsidSect="006C42F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B5C73"/>
    <w:rsid w:val="003A7F61"/>
    <w:rsid w:val="004A6F1D"/>
    <w:rsid w:val="004B5C73"/>
    <w:rsid w:val="006C42FA"/>
    <w:rsid w:val="00D57C69"/>
    <w:rsid w:val="00FB1DC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42FA"/>
  </w:style>
  <w:style w:type="paragraph" w:styleId="Titolo2">
    <w:name w:val="heading 2"/>
    <w:basedOn w:val="Normale"/>
    <w:link w:val="Titolo2Carattere"/>
    <w:uiPriority w:val="9"/>
    <w:qFormat/>
    <w:rsid w:val="004B5C73"/>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4B5C73"/>
    <w:rPr>
      <w:color w:val="0000FF"/>
      <w:u w:val="single"/>
    </w:rPr>
  </w:style>
  <w:style w:type="paragraph" w:styleId="NormaleWeb">
    <w:name w:val="Normal (Web)"/>
    <w:basedOn w:val="Normale"/>
    <w:uiPriority w:val="99"/>
    <w:semiHidden/>
    <w:unhideWhenUsed/>
    <w:rsid w:val="004B5C7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rsid w:val="004B5C73"/>
    <w:rPr>
      <w:rFonts w:ascii="Times New Roman" w:eastAsia="Times New Roman" w:hAnsi="Times New Roman" w:cs="Times New Roman"/>
      <w:b/>
      <w:bCs/>
      <w:sz w:val="36"/>
      <w:szCs w:val="36"/>
      <w:lang w:eastAsia="it-IT"/>
    </w:rPr>
  </w:style>
  <w:style w:type="character" w:customStyle="1" w:styleId="mw-headline">
    <w:name w:val="mw-headline"/>
    <w:basedOn w:val="Carpredefinitoparagrafo"/>
    <w:rsid w:val="004B5C73"/>
  </w:style>
  <w:style w:type="character" w:customStyle="1" w:styleId="editsection">
    <w:name w:val="editsection"/>
    <w:basedOn w:val="Carpredefinitoparagrafo"/>
    <w:rsid w:val="004B5C73"/>
  </w:style>
</w:styles>
</file>

<file path=word/webSettings.xml><?xml version="1.0" encoding="utf-8"?>
<w:webSettings xmlns:r="http://schemas.openxmlformats.org/officeDocument/2006/relationships" xmlns:w="http://schemas.openxmlformats.org/wordprocessingml/2006/main">
  <w:divs>
    <w:div w:id="1321335">
      <w:bodyDiv w:val="1"/>
      <w:marLeft w:val="0"/>
      <w:marRight w:val="0"/>
      <w:marTop w:val="0"/>
      <w:marBottom w:val="0"/>
      <w:divBdr>
        <w:top w:val="none" w:sz="0" w:space="0" w:color="auto"/>
        <w:left w:val="none" w:sz="0" w:space="0" w:color="auto"/>
        <w:bottom w:val="none" w:sz="0" w:space="0" w:color="auto"/>
        <w:right w:val="none" w:sz="0" w:space="0" w:color="auto"/>
      </w:divBdr>
      <w:divsChild>
        <w:div w:id="1078987320">
          <w:marLeft w:val="0"/>
          <w:marRight w:val="0"/>
          <w:marTop w:val="0"/>
          <w:marBottom w:val="0"/>
          <w:divBdr>
            <w:top w:val="none" w:sz="0" w:space="0" w:color="auto"/>
            <w:left w:val="none" w:sz="0" w:space="0" w:color="auto"/>
            <w:bottom w:val="none" w:sz="0" w:space="0" w:color="auto"/>
            <w:right w:val="none" w:sz="0" w:space="0" w:color="auto"/>
          </w:divBdr>
          <w:divsChild>
            <w:div w:id="1815876995">
              <w:marLeft w:val="0"/>
              <w:marRight w:val="0"/>
              <w:marTop w:val="0"/>
              <w:marBottom w:val="0"/>
              <w:divBdr>
                <w:top w:val="none" w:sz="0" w:space="0" w:color="auto"/>
                <w:left w:val="none" w:sz="0" w:space="0" w:color="auto"/>
                <w:bottom w:val="none" w:sz="0" w:space="0" w:color="auto"/>
                <w:right w:val="none" w:sz="0" w:space="0" w:color="auto"/>
              </w:divBdr>
              <w:divsChild>
                <w:div w:id="776173442">
                  <w:marLeft w:val="0"/>
                  <w:marRight w:val="0"/>
                  <w:marTop w:val="0"/>
                  <w:marBottom w:val="0"/>
                  <w:divBdr>
                    <w:top w:val="none" w:sz="0" w:space="0" w:color="auto"/>
                    <w:left w:val="none" w:sz="0" w:space="0" w:color="auto"/>
                    <w:bottom w:val="none" w:sz="0" w:space="0" w:color="auto"/>
                    <w:right w:val="none" w:sz="0" w:space="0" w:color="auto"/>
                  </w:divBdr>
                  <w:divsChild>
                    <w:div w:id="150427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761295">
      <w:bodyDiv w:val="1"/>
      <w:marLeft w:val="0"/>
      <w:marRight w:val="0"/>
      <w:marTop w:val="0"/>
      <w:marBottom w:val="0"/>
      <w:divBdr>
        <w:top w:val="none" w:sz="0" w:space="0" w:color="auto"/>
        <w:left w:val="none" w:sz="0" w:space="0" w:color="auto"/>
        <w:bottom w:val="none" w:sz="0" w:space="0" w:color="auto"/>
        <w:right w:val="none" w:sz="0" w:space="0" w:color="auto"/>
      </w:divBdr>
      <w:divsChild>
        <w:div w:id="1326932594">
          <w:marLeft w:val="0"/>
          <w:marRight w:val="0"/>
          <w:marTop w:val="0"/>
          <w:marBottom w:val="0"/>
          <w:divBdr>
            <w:top w:val="none" w:sz="0" w:space="0" w:color="auto"/>
            <w:left w:val="none" w:sz="0" w:space="0" w:color="auto"/>
            <w:bottom w:val="none" w:sz="0" w:space="0" w:color="auto"/>
            <w:right w:val="none" w:sz="0" w:space="0" w:color="auto"/>
          </w:divBdr>
          <w:divsChild>
            <w:div w:id="1827017638">
              <w:marLeft w:val="0"/>
              <w:marRight w:val="0"/>
              <w:marTop w:val="0"/>
              <w:marBottom w:val="0"/>
              <w:divBdr>
                <w:top w:val="none" w:sz="0" w:space="0" w:color="auto"/>
                <w:left w:val="none" w:sz="0" w:space="0" w:color="auto"/>
                <w:bottom w:val="none" w:sz="0" w:space="0" w:color="auto"/>
                <w:right w:val="none" w:sz="0" w:space="0" w:color="auto"/>
              </w:divBdr>
              <w:divsChild>
                <w:div w:id="1948997804">
                  <w:marLeft w:val="0"/>
                  <w:marRight w:val="0"/>
                  <w:marTop w:val="0"/>
                  <w:marBottom w:val="0"/>
                  <w:divBdr>
                    <w:top w:val="none" w:sz="0" w:space="0" w:color="auto"/>
                    <w:left w:val="none" w:sz="0" w:space="0" w:color="auto"/>
                    <w:bottom w:val="none" w:sz="0" w:space="0" w:color="auto"/>
                    <w:right w:val="none" w:sz="0" w:space="0" w:color="auto"/>
                  </w:divBdr>
                  <w:divsChild>
                    <w:div w:id="45888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Polizia_giudiziaria" TargetMode="External"/><Relationship Id="rId13" Type="http://schemas.openxmlformats.org/officeDocument/2006/relationships/hyperlink" Target="http://it.wikisource.org/wiki/Codice_di_Procedura_Penale" TargetMode="External"/><Relationship Id="rId18" Type="http://schemas.openxmlformats.org/officeDocument/2006/relationships/hyperlink" Target="http://it.wikipedia.org/wiki/Interrogatorio"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it.wikipedia.org/wiki/Sequestro" TargetMode="External"/><Relationship Id="rId7" Type="http://schemas.openxmlformats.org/officeDocument/2006/relationships/hyperlink" Target="http://it.wikipedia.org/wiki/Azione_penale" TargetMode="External"/><Relationship Id="rId12" Type="http://schemas.openxmlformats.org/officeDocument/2006/relationships/hyperlink" Target="http://it.wikipedia.org/wiki/Azione_penale" TargetMode="External"/><Relationship Id="rId17" Type="http://schemas.openxmlformats.org/officeDocument/2006/relationships/hyperlink" Target="http://it.wikipedia.org/w/index.php?title=Avviso_di_conclusione_delle_indagini&amp;action=edit&amp;redlink=1" TargetMode="External"/><Relationship Id="rId25" Type="http://schemas.openxmlformats.org/officeDocument/2006/relationships/hyperlink" Target="http://it.wikipedia.org/wiki/Giudice_per_le_indagini_preliminari" TargetMode="External"/><Relationship Id="rId2" Type="http://schemas.openxmlformats.org/officeDocument/2006/relationships/settings" Target="settings.xml"/><Relationship Id="rId16" Type="http://schemas.openxmlformats.org/officeDocument/2006/relationships/hyperlink" Target="http://it.wikipedia.org/wiki/Avviso_di_garanzia" TargetMode="External"/><Relationship Id="rId20" Type="http://schemas.openxmlformats.org/officeDocument/2006/relationships/hyperlink" Target="http://it.wikipedia.org/wiki/Perquisizione" TargetMode="External"/><Relationship Id="rId1" Type="http://schemas.openxmlformats.org/officeDocument/2006/relationships/styles" Target="styles.xml"/><Relationship Id="rId6" Type="http://schemas.openxmlformats.org/officeDocument/2006/relationships/hyperlink" Target="http://it.wikipedia.org/wiki/Pubblico_ministero" TargetMode="External"/><Relationship Id="rId11" Type="http://schemas.openxmlformats.org/officeDocument/2006/relationships/hyperlink" Target="http://it.wikipedia.org/wiki/Incidente_probatorio" TargetMode="External"/><Relationship Id="rId24" Type="http://schemas.openxmlformats.org/officeDocument/2006/relationships/hyperlink" Target="http://it.wikisource.org/wiki/Codice_di_procedura_penale" TargetMode="External"/><Relationship Id="rId5" Type="http://schemas.openxmlformats.org/officeDocument/2006/relationships/hyperlink" Target="http://it.wikipedia.org/wiki/Procedimento_penale" TargetMode="External"/><Relationship Id="rId15" Type="http://schemas.openxmlformats.org/officeDocument/2006/relationships/hyperlink" Target="http://it.wikipedia.org/wiki/Codice_di_procedura_penale" TargetMode="External"/><Relationship Id="rId23" Type="http://schemas.openxmlformats.org/officeDocument/2006/relationships/hyperlink" Target="http://it.wikipedia.org/wiki/Notizia_di_reato" TargetMode="External"/><Relationship Id="rId10" Type="http://schemas.openxmlformats.org/officeDocument/2006/relationships/hyperlink" Target="http://it.wikipedia.org/wiki/Pubblico_Ministero" TargetMode="External"/><Relationship Id="rId19" Type="http://schemas.openxmlformats.org/officeDocument/2006/relationships/hyperlink" Target="http://it.wikipedia.org/wiki/Ispezione" TargetMode="External"/><Relationship Id="rId4" Type="http://schemas.openxmlformats.org/officeDocument/2006/relationships/hyperlink" Target="http://it.wikipedia.org/wiki/Codice_di_procedura_penale" TargetMode="External"/><Relationship Id="rId9" Type="http://schemas.openxmlformats.org/officeDocument/2006/relationships/hyperlink" Target="http://it.wikipedia.org/wiki/1989" TargetMode="External"/><Relationship Id="rId14" Type="http://schemas.openxmlformats.org/officeDocument/2006/relationships/hyperlink" Target="http://it.wikisource.org/wiki/Codice_di_procedura_penale" TargetMode="External"/><Relationship Id="rId22" Type="http://schemas.openxmlformats.org/officeDocument/2006/relationships/hyperlink" Target="http://it.wikisource.org/wiki/Codice_di_procedura_penale"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1153</Words>
  <Characters>6574</Characters>
  <Application>Microsoft Office Word</Application>
  <DocSecurity>0</DocSecurity>
  <Lines>54</Lines>
  <Paragraphs>15</Paragraphs>
  <ScaleCrop>false</ScaleCrop>
  <Company>TOSHIBA</Company>
  <LinksUpToDate>false</LinksUpToDate>
  <CharactersWithSpaces>7712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 Pradella</cp:lastModifiedBy>
  <cp:revision>3</cp:revision>
  <dcterms:created xsi:type="dcterms:W3CDTF">2009-07-02T13:31:00Z</dcterms:created>
  <dcterms:modified xsi:type="dcterms:W3CDTF">2011-03-01T19:02:00Z</dcterms:modified>
</cp:coreProperties>
</file>